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авила-содержания-и-выгула-собак"/>
    <w:p>
      <w:pPr>
        <w:pStyle w:val="Heading3"/>
      </w:pPr>
      <w:r>
        <w:t xml:space="preserve">Правила содержания и выгула собак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upload/Памят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rovo.mos.ru/www/upload/Выгул%20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http://perovo.mos.ru/the-state-veterinary-service/detail/11420028.html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perovo.mos.ru" TargetMode="External" /><Relationship Type="http://schemas.openxmlformats.org/officeDocument/2006/relationships/hyperlink" Id="rId26" Target="http://perovo.mos.ru/the-state-veterinary-service/detail/11420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rovo.mos.ru" TargetMode="External" /><Relationship Type="http://schemas.openxmlformats.org/officeDocument/2006/relationships/hyperlink" Id="rId26" Target="http://perovo.mos.ru/the-state-veterinary-service/detail/11420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2023-08-23T03:01:10Z</dcterms:created>
  <dcterms:modified xsi:type="dcterms:W3CDTF">2023-08-23T03:01:10Z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